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7C7C" w:rsidR="00983079" w:rsidP="0C1E0E09" w:rsidRDefault="00D8242C" w14:paraId="0D09E09E" w14:textId="58D8D5A8" w14:noSpellErr="1">
      <w:pPr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0C1E0E09" w:rsidR="00D8242C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IMG Certification Standards </w:t>
      </w:r>
      <w:r w:rsidRPr="0C1E0E09" w:rsidR="00123F23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2021</w:t>
      </w:r>
      <w:r w:rsidRPr="0C1E0E09" w:rsidR="009B7B15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, V2.0</w:t>
      </w:r>
      <w:r w:rsidRPr="0C1E0E09" w:rsidR="00E93E91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 </w:t>
      </w:r>
    </w:p>
    <w:p w:rsidRPr="00AE7C7C" w:rsidR="00E93E91" w:rsidP="0C1E0E09" w:rsidRDefault="00E93E91" w14:paraId="4EFABBA1" w14:textId="77777777" w14:noSpellErr="1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0C1E0E09" w:rsidR="00E93E9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Group Manager Requirements Checklist </w:t>
      </w:r>
    </w:p>
    <w:p w:rsidRPr="00AE7C7C" w:rsidR="00E93E91" w:rsidP="0C1E0E09" w:rsidRDefault="00E93E91" w14:paraId="03FCEC1B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AE7C7C" w:rsidR="00E93E91" w:rsidP="0C1E0E09" w:rsidRDefault="00E93E91" w14:paraId="18FA6868" w14:textId="77777777" w14:noSpellErr="1">
      <w:pPr>
        <w:pStyle w:val="BodyTextIndent2"/>
        <w:ind w:firstLine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>Generally, the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Group Organization administers the overall functions of the Group and coordinates certain activities, such as:</w:t>
      </w:r>
    </w:p>
    <w:p w:rsidRPr="00AE7C7C" w:rsidR="00E93E91" w:rsidP="0C1E0E09" w:rsidRDefault="00E93E91" w14:paraId="598411C8" w14:textId="59A0D115">
      <w:pPr>
        <w:pStyle w:val="BodyTextIndent2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>ensuring conformance to the AFF Standards</w:t>
      </w:r>
      <w:r w:rsidRPr="0C1E0E09" w:rsidR="00D824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 Sustainability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</w:p>
    <w:p w:rsidRPr="00AE7C7C" w:rsidR="00E93E91" w:rsidP="0C1E0E09" w:rsidRDefault="00E93E91" w14:paraId="3AAB01BE" w14:textId="0FC74550">
      <w:pPr>
        <w:pStyle w:val="BodyTextIndent2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1E0E09" w:rsidR="00D8242C">
        <w:rPr>
          <w:rFonts w:ascii="Calibri" w:hAnsi="Calibri" w:cs="Calibri" w:asciiTheme="minorAscii" w:hAnsiTheme="minorAscii" w:cstheme="minorAscii"/>
          <w:sz w:val="22"/>
          <w:szCs w:val="22"/>
        </w:rPr>
        <w:t>administering entry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departure</w:t>
      </w:r>
      <w:r w:rsidRPr="0C1E0E09" w:rsidR="00D824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 members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</w:p>
    <w:p w:rsidRPr="00AE7C7C" w:rsidR="00E93E91" w:rsidP="0C1E0E09" w:rsidRDefault="00E93E91" w14:paraId="4D6EB8EE" w14:textId="4FC8A1B7">
      <w:pPr>
        <w:pStyle w:val="BodyTextIndent2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maintaining records and reporting, </w:t>
      </w:r>
    </w:p>
    <w:p w:rsidR="00E93E91" w:rsidP="0C1E0E09" w:rsidRDefault="00E93E91" w14:paraId="507B8F50" w14:textId="3DF848B2">
      <w:pPr>
        <w:pStyle w:val="BodyTextIndent2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conducting ongoing 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>monitoring</w:t>
      </w:r>
      <w:r w:rsidRPr="0C1E0E09" w:rsidR="005B7CE3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</w:p>
    <w:p w:rsidR="00E93E91" w:rsidP="0C1E0E09" w:rsidRDefault="00E93E91" w14:paraId="30F43B74" w14:textId="29F74DD5">
      <w:pPr>
        <w:pStyle w:val="BodyTextIndent2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>managing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group certification process</w:t>
      </w:r>
      <w:r w:rsidRPr="0C1E0E09" w:rsidR="00E93E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</w:p>
    <w:p w:rsidR="0C1E0E09" w:rsidRDefault="0C1E0E09" w14:paraId="16AFF78D" w14:textId="69385DB9"/>
    <w:p w:rsidR="0C1E0E09" w:rsidP="0C1E0E09" w:rsidRDefault="0C1E0E09" w14:paraId="0E3F6773" w14:textId="30FDCB4A">
      <w:pPr>
        <w:pStyle w:val="Normal"/>
      </w:pPr>
    </w:p>
    <w:p w:rsidR="00E93E91" w:rsidRDefault="00E93E91" w14:paraId="6893DC19" w14:textId="77777777"/>
    <w:tbl>
      <w:tblPr>
        <w:tblW w:w="12955" w:type="dxa"/>
        <w:tblLook w:val="04A0" w:firstRow="1" w:lastRow="0" w:firstColumn="1" w:lastColumn="0" w:noHBand="0" w:noVBand="1"/>
      </w:tblPr>
      <w:tblGrid>
        <w:gridCol w:w="1165"/>
        <w:gridCol w:w="6030"/>
        <w:gridCol w:w="5760"/>
      </w:tblGrid>
      <w:tr w:rsidR="00596F2F" w:rsidTr="0C1E0E09" w14:paraId="29CA397C" w14:textId="77777777">
        <w:trPr>
          <w:trHeight w:val="580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AE7C7C" w:rsidP="0C1E0E09" w:rsidRDefault="00AE7C7C" w14:paraId="0AA2ECA6" w14:textId="77777777" w14:noSpellErr="1">
            <w:pPr>
              <w:jc w:val="center"/>
              <w:rPr>
                <w:rFonts w:ascii="Calibri" w:hAnsi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Standards Reference</w:t>
            </w:r>
          </w:p>
        </w:tc>
        <w:tc>
          <w:tcPr>
            <w:tcW w:w="6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P="0C1E0E09" w:rsidRDefault="00AE7C7C" w14:paraId="275D50C2" w14:textId="6DEE32DD" w14:noSpellErr="1">
            <w:pPr>
              <w:jc w:val="center"/>
              <w:rPr>
                <w:rFonts w:ascii="Calibri" w:hAnsi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Group Manager Responsibility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P="0C1E0E09" w:rsidRDefault="00AE7C7C" w14:paraId="41EFDBA6" w14:textId="6622306F" w14:noSpellErr="1">
            <w:pPr>
              <w:jc w:val="center"/>
              <w:rPr>
                <w:rFonts w:ascii="Calibri" w:hAnsi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Conformance</w:t>
            </w:r>
          </w:p>
        </w:tc>
      </w:tr>
      <w:tr w:rsidR="00596F2F" w:rsidTr="0C1E0E09" w14:paraId="67B814C8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4E0C1D24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41C6D8C7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must be a legal entity competent to sign agreements with Group Members and to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enter into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binding contracts with certification bodies and other outside entities.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047716F3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68FF60F2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1C0238D1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4.1.2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1C4A5C94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Organization shall adhere to ATFS Eligibility Requirements and may further define membership parameters, if desired.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6BCE6B83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32313603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8371488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641B7F78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shall define and administer a procedure for admitting Group Members. Conformance with ATFS Eligibility Requirements and AFF Standards of Sustainability shall be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determined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prior to FMU enrollment in the group certificate.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0DF6052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0ADEE5F1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4F1E071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4.2.2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6E3C103C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shall define and administer a procedure for expelling Group Members if they do not meet the requirements of the AFF Standards of Sustainability and ATFS IMG Standards and are not willing or able to take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appropriate corrective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action.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147CF0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18562B11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427F537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4.3.1.2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BF70E55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Inspectors of the Group Organization conducting internal monitoring must have completed the current ATFS Tree Farm Inspector training course.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3FED941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28DFFF22" w14:textId="77777777">
        <w:trPr>
          <w:trHeight w:val="174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3CBEEB51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0356487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describe roles and responsibilities of the Group Entity, Group Manager and Group Members with respect to forest management decisions and associated activities (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e.g.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plan development, harvesting, monitoring, etc.) as well as with implementation of the AFF Standards of Sustainability and the ATFS IMG Certification Standards.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20279085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5C27221C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344B7366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4D96E4CC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designate a Group Manager(s) who is responsible for overseeing the administrative details of Group Certification and for ensuring compliance with all applicable requirements.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30D450A9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2C0FE51B" w14:textId="77777777">
        <w:trPr>
          <w:trHeight w:val="58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64546748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150B309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must have a written commitment to sustainable forestry and conformance to the AFF Standards.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6952E45E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18E4D438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78D5196B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23D0B32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must ensure Group Members have a written commitment to sustainable forestry and conformance to the AFF Standards of Sustainability.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AE3313E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10128416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1DAE20C4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3C2BD06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must document Group Management Systems and verify responsibilities between the Group Entity and Group Members.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77E7BB8A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6F7178F6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316209A6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1918EDF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inform Group Members of any and all fees associated with administration of the Group Certification, if any, when they join the Group Organization.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6C6EBDBA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4D846940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6F3A60E3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DA3D77B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shall hold the ATFS Group Certificate on behalf of the Group Members and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represents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the Group Organization in the certification process.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018E5CA2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6DB09DCE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6BC69124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3BBB1607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must ensure that Group Members are notified that they are subject to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all of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the requirements and privileges of membership in the American Tree Farm System®. 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348DF7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201485CD" w14:textId="77777777">
        <w:trPr>
          <w:trHeight w:val="58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BA2EB09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4.3.2.10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41F9435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make the AFF Standards of Sustainability accessible to Group Members.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6A858A38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08701175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4E5DBBD3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4.3.2.11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7CFB69E3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issue a document to each Group Member that confirms the Group Member participation and coverage by the scope of the third-party certificate.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541A1A4E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40C6373B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4E5A774A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4.3.2.12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7F9F3E27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follow the ATFS logo use guidelines and ensure proper use of promotional claims about the Group Certification.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B204A1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5EF2434F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0F41B019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4.4.3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660D648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ensure that each Forest Management Unit included in the Certified Area either has an individual forest management plan or is covered by an Umbrella Management Plan.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2AD59643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2B9C5C3B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0F0D05AB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5.1.4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019F2E0B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shall have a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procedures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for periodically assessing,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planning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and implementing any changes in Group Organization structure or the Group Management System needed for ongoing conformance and continual improvement.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52B602F5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1E696DC0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88AFF9A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5.3.1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777C8B50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Organization must have a procedure for addressing and resolving disputes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regarding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conformance with the AFF Standards between and among the Group Members and the Group Organization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pertaining to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Tree Farm certification.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7FF96A2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620FD82B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4DA418AB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5.3.2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B53419F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Organization shall follow and conform to the AFF Disputes and Appeals Procedures and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assist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ATFS in resolving any such complaints.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34094103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7849A98C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14E4DFC9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5.4.2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B69E6A8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maintain current internal Group Member records and provide updated information on a regular basis to the ATFS database to reflect entries and departures of Group Members from the Group Organization.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8C27D32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0D715EEA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3CFA5D84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5.4.4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6BE25BF4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shall submit a copy of the IMG Group Certificate and a summary of the audit report that is appropriate for public distribution to ATFS.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65EE9906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391EC77D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5152E16B" w14:textId="45DE18AF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739E985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Group Entity must incorporate a Group Management System to verify that all Group Members are subject to annual internal monitoring.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AE7C7C" w:rsidRDefault="00AE7C7C" w14:paraId="26482777" w14:textId="3B2BA59F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6F2F" w:rsidTr="0C1E0E09" w14:paraId="3BB3D1C1" w14:textId="77777777">
        <w:trPr>
          <w:trHeight w:val="145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6CD7D648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2F447A20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An ongoing internal monitoring program shall be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established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and implemented by the Group Entity to assess the effectiveness of the Group Organization in implementing the Group Management System to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maintain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conformance with the AFF Standards of Sustainability.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710DDBBD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0F207E89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7C82A8C2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6.4.2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3B911DE7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shall define and implement an annual internal audit sampling protocol for Group Members to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determine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the sample size, use of sample categories, allocation of the sample to categories. and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selection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of Group Members to be audited.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4934F179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245ACFB2" w14:textId="77777777">
        <w:trPr>
          <w:trHeight w:val="58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6CA2FD7F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6.4.3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43E3E606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The Internal Audit sample size for Group Members shall be calculated based on the number of Group Members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8FC5BCF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1E21F26C" w14:textId="77777777">
        <w:trPr>
          <w:trHeight w:val="87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4ADE9BAE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6.4.3a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59074F01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size of the sample should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generally be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the square root of the number of Group Members, rounded up to the upper whole number.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086ECFAE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70955C97" w14:textId="77777777">
        <w:trPr>
          <w:trHeight w:val="29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175DD328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6.4.3b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057A68AC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Twenty-five percent of the sample should be selected at random.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440E385F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5D58A39D" w14:textId="77777777">
        <w:trPr>
          <w:trHeight w:val="290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D0E0305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6.4.3c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13D9F" w:rsidR="00D13D9F" w:rsidP="0C1E0E09" w:rsidRDefault="00AE7C7C" w14:paraId="10869CBD" w14:textId="423403EB" w14:noSpellErr="1">
            <w:pPr>
              <w:rPr>
                <w:rFonts w:ascii="Calibri" w:hAnsi="Calibri" w:cs="Calibri"/>
                <w:color w:val="000000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 xml:space="preserve">The size of the sample may be adapted up or down by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>taking into account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 xml:space="preserve"> any one or more of the following: </w:t>
            </w:r>
          </w:p>
          <w:p w:rsidR="00D13D9F" w:rsidP="00327257" w:rsidRDefault="00AE7C7C" w14:paraId="08C3B57E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>results of a risk assessment based on other means of gathering information about activities on the ground</w:t>
            </w:r>
          </w:p>
          <w:p w:rsidR="00D13D9F" w:rsidP="00327257" w:rsidRDefault="00AE7C7C" w14:paraId="43EE7787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>results of Internal Audits or External Certification Audits</w:t>
            </w:r>
          </w:p>
          <w:p w:rsidR="00D13D9F" w:rsidP="00327257" w:rsidRDefault="00AE7C7C" w14:paraId="758C7AF5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>quality/level of confidence of Internal Monitoring</w:t>
            </w:r>
          </w:p>
          <w:p w:rsidR="00D13D9F" w:rsidP="00327257" w:rsidRDefault="00AE7C7C" w14:paraId="1C7FF779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 xml:space="preserve">use of technologies allowing gathering of information for specific requirements </w:t>
            </w:r>
          </w:p>
          <w:p w:rsidRPr="00327257" w:rsidR="00AE7C7C" w:rsidP="0C1E0E09" w:rsidRDefault="00AE7C7C" w14:paraId="0D969B87" w14:textId="52B247F9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</w:rPr>
              <w:t>based on other means of gathering information about activities on the ground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65D9532C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017F1D19" w14:textId="77777777">
        <w:trPr>
          <w:trHeight w:val="195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2C8995B4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6.7.2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3540E1CC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In the case that corrective actions are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required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to address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identified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non-conformities, the Group Entity shall work with the Group Members and other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appropriate parties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to ensure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timely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implementation of the corrective action and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monitor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its effectiveness in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maintaining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conformity.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15232CEC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596F2F" w:rsidTr="0C1E0E09" w14:paraId="480A3A2C" w14:textId="77777777">
        <w:trPr>
          <w:trHeight w:val="1160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AE7C7C" w:rsidP="0C1E0E09" w:rsidRDefault="00AE7C7C" w14:paraId="048C06E0" w14:textId="77777777" w14:noSpellErr="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6.7.5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E7C7C" w:rsidRDefault="00AE7C7C" w14:paraId="0AF07B19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The Group Entity shall keep the Group Organization’s Group Management System up-to-date, and make changes as needed to 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maintain</w:t>
            </w: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ongoing conformance with the AFF Standards of Sustainability and the ATFS IMG Certification Standards.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E7C7C" w:rsidRDefault="00AE7C7C" w14:paraId="46AF2423" w14:textId="77777777" w14:noSpellErr="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C1E0E09" w:rsidR="5A33F5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</w:tbl>
    <w:p w:rsidR="005B7CE3" w:rsidRDefault="005B7CE3" w14:paraId="0B6FA42B" w14:textId="126304FC" w14:noSpellErr="1">
      <w:pPr/>
    </w:p>
    <w:p w:rsidRPr="005B7CE3" w:rsidR="005B7CE3" w:rsidP="0C1E0E09" w:rsidRDefault="005B7CE3" w14:paraId="29BC4101" w14:textId="7D300F4A">
      <w:pPr>
        <w:pStyle w:val="Normal"/>
        <w:rPr>
          <w:b w:val="1"/>
          <w:bCs w:val="1"/>
          <w:color w:val="000000" w:themeColor="text1" w:themeTint="FF" w:themeShade="FF"/>
        </w:rPr>
      </w:pPr>
      <w:r>
        <w:br w:type="page"/>
      </w:r>
    </w:p>
    <w:sectPr w:rsidRPr="005B7CE3" w:rsidR="005B7CE3" w:rsidSect="00EB3E16">
      <w:headerReference w:type="default" r:id="rId14"/>
      <w:footerReference w:type="default" r:id="rId15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8F8" w:rsidP="00CC098D" w:rsidRDefault="00AC78F8" w14:paraId="20A256B3" w14:textId="77777777">
      <w:r>
        <w:separator/>
      </w:r>
    </w:p>
  </w:endnote>
  <w:endnote w:type="continuationSeparator" w:id="0">
    <w:p w:rsidR="00AC78F8" w:rsidP="00CC098D" w:rsidRDefault="00AC78F8" w14:paraId="79EE93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90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98D" w:rsidRDefault="00CC098D" w14:paraId="4CE02F6B" w14:textId="2D7CD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98D" w:rsidRDefault="00CC098D" w14:paraId="7BDDC8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8F8" w:rsidP="00CC098D" w:rsidRDefault="00AC78F8" w14:paraId="226D4336" w14:textId="77777777">
      <w:r>
        <w:separator/>
      </w:r>
    </w:p>
  </w:footnote>
  <w:footnote w:type="continuationSeparator" w:id="0">
    <w:p w:rsidR="00AC78F8" w:rsidP="00CC098D" w:rsidRDefault="00AC78F8" w14:paraId="37EC79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98D" w:rsidP="00CC098D" w:rsidRDefault="005919FA" w14:paraId="3F33366B" w14:textId="047CCF10">
    <w:pPr>
      <w:pStyle w:val="Header"/>
      <w:jc w:val="right"/>
    </w:pPr>
    <w:r w:rsidR="0C1E0E09">
      <w:rPr/>
      <w:t>September</w:t>
    </w:r>
    <w:r w:rsidR="0C1E0E09">
      <w:rPr/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8E5"/>
    <w:multiLevelType w:val="hybridMultilevel"/>
    <w:tmpl w:val="733E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0A467D"/>
    <w:multiLevelType w:val="hybridMultilevel"/>
    <w:tmpl w:val="6BAE557C"/>
    <w:lvl w:ilvl="0" w:tplc="03CE4D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9A48F7"/>
    <w:multiLevelType w:val="hybridMultilevel"/>
    <w:tmpl w:val="05A00930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EB1AF73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7E09F4"/>
    <w:multiLevelType w:val="hybridMultilevel"/>
    <w:tmpl w:val="121062F8"/>
    <w:lvl w:ilvl="0" w:tplc="04090001">
      <w:start w:val="1"/>
      <w:numFmt w:val="bullet"/>
      <w:lvlText w:val=""/>
      <w:lvlJc w:val="left"/>
      <w:pPr>
        <w:ind w:left="70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hint="default" w:ascii="Wingdings" w:hAnsi="Wingdings"/>
      </w:rPr>
    </w:lvl>
  </w:abstractNum>
  <w:abstractNum w:abstractNumId="4" w15:restartNumberingAfterBreak="0">
    <w:nsid w:val="63243018"/>
    <w:multiLevelType w:val="hybridMultilevel"/>
    <w:tmpl w:val="91C4B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2D1B42"/>
    <w:multiLevelType w:val="hybridMultilevel"/>
    <w:tmpl w:val="D0329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2827BA"/>
    <w:multiLevelType w:val="hybridMultilevel"/>
    <w:tmpl w:val="13C6D3C0"/>
    <w:lvl w:ilvl="0" w:tplc="B270EAD2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6690292">
    <w:abstractNumId w:val="2"/>
  </w:num>
  <w:num w:numId="2" w16cid:durableId="185557983">
    <w:abstractNumId w:val="1"/>
  </w:num>
  <w:num w:numId="3" w16cid:durableId="96606468">
    <w:abstractNumId w:val="4"/>
  </w:num>
  <w:num w:numId="4" w16cid:durableId="1197818906">
    <w:abstractNumId w:val="6"/>
  </w:num>
  <w:num w:numId="5" w16cid:durableId="1169562855">
    <w:abstractNumId w:val="0"/>
  </w:num>
  <w:num w:numId="6" w16cid:durableId="22366955">
    <w:abstractNumId w:val="3"/>
  </w:num>
  <w:num w:numId="7" w16cid:durableId="148966534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1"/>
    <w:rsid w:val="000024B5"/>
    <w:rsid w:val="0001533A"/>
    <w:rsid w:val="00031792"/>
    <w:rsid w:val="0004672A"/>
    <w:rsid w:val="0006558C"/>
    <w:rsid w:val="00076AAA"/>
    <w:rsid w:val="0008617D"/>
    <w:rsid w:val="00092B71"/>
    <w:rsid w:val="000B6FE9"/>
    <w:rsid w:val="000B79E9"/>
    <w:rsid w:val="000C76D6"/>
    <w:rsid w:val="000E2347"/>
    <w:rsid w:val="00112F34"/>
    <w:rsid w:val="00123F23"/>
    <w:rsid w:val="0012681F"/>
    <w:rsid w:val="00147B23"/>
    <w:rsid w:val="001647DF"/>
    <w:rsid w:val="001727AB"/>
    <w:rsid w:val="00176B6A"/>
    <w:rsid w:val="00183A67"/>
    <w:rsid w:val="001D073A"/>
    <w:rsid w:val="001D42B0"/>
    <w:rsid w:val="001D556C"/>
    <w:rsid w:val="001E0177"/>
    <w:rsid w:val="001F1D2D"/>
    <w:rsid w:val="00227A47"/>
    <w:rsid w:val="00230637"/>
    <w:rsid w:val="0023571E"/>
    <w:rsid w:val="00242E7E"/>
    <w:rsid w:val="002448CF"/>
    <w:rsid w:val="00246BCF"/>
    <w:rsid w:val="00255FC3"/>
    <w:rsid w:val="00260896"/>
    <w:rsid w:val="002674B9"/>
    <w:rsid w:val="0027310A"/>
    <w:rsid w:val="002834D3"/>
    <w:rsid w:val="002905CA"/>
    <w:rsid w:val="002A16C5"/>
    <w:rsid w:val="002C3896"/>
    <w:rsid w:val="002D24F4"/>
    <w:rsid w:val="002E2FB1"/>
    <w:rsid w:val="002E3052"/>
    <w:rsid w:val="002F4459"/>
    <w:rsid w:val="003121AA"/>
    <w:rsid w:val="003212CC"/>
    <w:rsid w:val="003248C2"/>
    <w:rsid w:val="0032564C"/>
    <w:rsid w:val="00327257"/>
    <w:rsid w:val="00334A98"/>
    <w:rsid w:val="00341B91"/>
    <w:rsid w:val="00344F88"/>
    <w:rsid w:val="00344F8D"/>
    <w:rsid w:val="00367C22"/>
    <w:rsid w:val="00380807"/>
    <w:rsid w:val="00382A61"/>
    <w:rsid w:val="003C1CE4"/>
    <w:rsid w:val="003D3659"/>
    <w:rsid w:val="003E449F"/>
    <w:rsid w:val="003F0FC3"/>
    <w:rsid w:val="003F18AC"/>
    <w:rsid w:val="00400F0C"/>
    <w:rsid w:val="00412171"/>
    <w:rsid w:val="00420475"/>
    <w:rsid w:val="00422D81"/>
    <w:rsid w:val="00432F76"/>
    <w:rsid w:val="00436B4E"/>
    <w:rsid w:val="00437A64"/>
    <w:rsid w:val="004502F3"/>
    <w:rsid w:val="00467453"/>
    <w:rsid w:val="00476CF5"/>
    <w:rsid w:val="00485D24"/>
    <w:rsid w:val="004867AF"/>
    <w:rsid w:val="004B0422"/>
    <w:rsid w:val="004B1A33"/>
    <w:rsid w:val="004B3144"/>
    <w:rsid w:val="004C7FF5"/>
    <w:rsid w:val="004E2C94"/>
    <w:rsid w:val="00510145"/>
    <w:rsid w:val="005359D1"/>
    <w:rsid w:val="005919FA"/>
    <w:rsid w:val="00596F2F"/>
    <w:rsid w:val="005A143B"/>
    <w:rsid w:val="005A196B"/>
    <w:rsid w:val="005A2169"/>
    <w:rsid w:val="005A2F87"/>
    <w:rsid w:val="005B0838"/>
    <w:rsid w:val="005B7CE3"/>
    <w:rsid w:val="005D2781"/>
    <w:rsid w:val="005E464E"/>
    <w:rsid w:val="006004A6"/>
    <w:rsid w:val="00610901"/>
    <w:rsid w:val="0061486F"/>
    <w:rsid w:val="006173AD"/>
    <w:rsid w:val="00627B63"/>
    <w:rsid w:val="00635502"/>
    <w:rsid w:val="00643742"/>
    <w:rsid w:val="006448A0"/>
    <w:rsid w:val="00645352"/>
    <w:rsid w:val="00661E8A"/>
    <w:rsid w:val="00670599"/>
    <w:rsid w:val="00671343"/>
    <w:rsid w:val="00687ADE"/>
    <w:rsid w:val="00695FBE"/>
    <w:rsid w:val="006B3505"/>
    <w:rsid w:val="006D6AD6"/>
    <w:rsid w:val="006E52E5"/>
    <w:rsid w:val="006E5C1D"/>
    <w:rsid w:val="006F23C5"/>
    <w:rsid w:val="006F3258"/>
    <w:rsid w:val="0070314A"/>
    <w:rsid w:val="00703616"/>
    <w:rsid w:val="0071202F"/>
    <w:rsid w:val="0071591B"/>
    <w:rsid w:val="007355A8"/>
    <w:rsid w:val="007411F0"/>
    <w:rsid w:val="00741334"/>
    <w:rsid w:val="00753968"/>
    <w:rsid w:val="00761B59"/>
    <w:rsid w:val="00766061"/>
    <w:rsid w:val="00766D5F"/>
    <w:rsid w:val="007A579F"/>
    <w:rsid w:val="007B2224"/>
    <w:rsid w:val="007B24E9"/>
    <w:rsid w:val="007E28B7"/>
    <w:rsid w:val="007E67CA"/>
    <w:rsid w:val="0080067D"/>
    <w:rsid w:val="0080081A"/>
    <w:rsid w:val="00810BA8"/>
    <w:rsid w:val="00823297"/>
    <w:rsid w:val="00845B44"/>
    <w:rsid w:val="00861931"/>
    <w:rsid w:val="008659C2"/>
    <w:rsid w:val="0088263D"/>
    <w:rsid w:val="00895D5A"/>
    <w:rsid w:val="008A7DA8"/>
    <w:rsid w:val="008B0109"/>
    <w:rsid w:val="008C2714"/>
    <w:rsid w:val="008F7D90"/>
    <w:rsid w:val="00922B19"/>
    <w:rsid w:val="0092463B"/>
    <w:rsid w:val="00950DFD"/>
    <w:rsid w:val="00962C03"/>
    <w:rsid w:val="0097022D"/>
    <w:rsid w:val="00972C93"/>
    <w:rsid w:val="00983079"/>
    <w:rsid w:val="00983E33"/>
    <w:rsid w:val="00987DD0"/>
    <w:rsid w:val="00991E13"/>
    <w:rsid w:val="009A662F"/>
    <w:rsid w:val="009B7B15"/>
    <w:rsid w:val="009C18ED"/>
    <w:rsid w:val="009E3CFF"/>
    <w:rsid w:val="009F00E2"/>
    <w:rsid w:val="00A07EEE"/>
    <w:rsid w:val="00A13B73"/>
    <w:rsid w:val="00A17EA0"/>
    <w:rsid w:val="00A27673"/>
    <w:rsid w:val="00A333A4"/>
    <w:rsid w:val="00A41E36"/>
    <w:rsid w:val="00A45B08"/>
    <w:rsid w:val="00A523AD"/>
    <w:rsid w:val="00A6076A"/>
    <w:rsid w:val="00A71BE6"/>
    <w:rsid w:val="00A912BE"/>
    <w:rsid w:val="00AA0031"/>
    <w:rsid w:val="00AB499B"/>
    <w:rsid w:val="00AC3BB6"/>
    <w:rsid w:val="00AC72AA"/>
    <w:rsid w:val="00AC78F8"/>
    <w:rsid w:val="00AC7DC8"/>
    <w:rsid w:val="00AD0167"/>
    <w:rsid w:val="00AE178F"/>
    <w:rsid w:val="00AE7C7C"/>
    <w:rsid w:val="00B11EBC"/>
    <w:rsid w:val="00B1731B"/>
    <w:rsid w:val="00B17D1A"/>
    <w:rsid w:val="00B23B06"/>
    <w:rsid w:val="00B5328F"/>
    <w:rsid w:val="00B555D1"/>
    <w:rsid w:val="00B64923"/>
    <w:rsid w:val="00B749BD"/>
    <w:rsid w:val="00B7567C"/>
    <w:rsid w:val="00BA3326"/>
    <w:rsid w:val="00BA7464"/>
    <w:rsid w:val="00BD32FF"/>
    <w:rsid w:val="00BF32C6"/>
    <w:rsid w:val="00C02775"/>
    <w:rsid w:val="00C07000"/>
    <w:rsid w:val="00C10663"/>
    <w:rsid w:val="00C20B96"/>
    <w:rsid w:val="00C410A2"/>
    <w:rsid w:val="00C45486"/>
    <w:rsid w:val="00C73086"/>
    <w:rsid w:val="00C8607C"/>
    <w:rsid w:val="00C86735"/>
    <w:rsid w:val="00CB031B"/>
    <w:rsid w:val="00CB6064"/>
    <w:rsid w:val="00CC098D"/>
    <w:rsid w:val="00CC4B62"/>
    <w:rsid w:val="00CD24C5"/>
    <w:rsid w:val="00CE70B1"/>
    <w:rsid w:val="00CF59E1"/>
    <w:rsid w:val="00D13D9F"/>
    <w:rsid w:val="00D2649B"/>
    <w:rsid w:val="00D60AC5"/>
    <w:rsid w:val="00D66163"/>
    <w:rsid w:val="00D729A0"/>
    <w:rsid w:val="00D77FA7"/>
    <w:rsid w:val="00D8242C"/>
    <w:rsid w:val="00DA163C"/>
    <w:rsid w:val="00DA336C"/>
    <w:rsid w:val="00DA4D8F"/>
    <w:rsid w:val="00DA6306"/>
    <w:rsid w:val="00DB7CCB"/>
    <w:rsid w:val="00DC5465"/>
    <w:rsid w:val="00DC639E"/>
    <w:rsid w:val="00DD0841"/>
    <w:rsid w:val="00DE2E9E"/>
    <w:rsid w:val="00DF3A4B"/>
    <w:rsid w:val="00DF5ECE"/>
    <w:rsid w:val="00E11D63"/>
    <w:rsid w:val="00E27D59"/>
    <w:rsid w:val="00E30AD0"/>
    <w:rsid w:val="00E43205"/>
    <w:rsid w:val="00E71604"/>
    <w:rsid w:val="00E86706"/>
    <w:rsid w:val="00E93E91"/>
    <w:rsid w:val="00EB3E16"/>
    <w:rsid w:val="00EB5BBD"/>
    <w:rsid w:val="00EB7C74"/>
    <w:rsid w:val="00ED1226"/>
    <w:rsid w:val="00ED487C"/>
    <w:rsid w:val="00ED538F"/>
    <w:rsid w:val="00EE1C62"/>
    <w:rsid w:val="00EE2122"/>
    <w:rsid w:val="00EE32C2"/>
    <w:rsid w:val="00F041A6"/>
    <w:rsid w:val="00F06CB8"/>
    <w:rsid w:val="00F34FCD"/>
    <w:rsid w:val="00F445CA"/>
    <w:rsid w:val="00F4476C"/>
    <w:rsid w:val="00F6005E"/>
    <w:rsid w:val="00F62B90"/>
    <w:rsid w:val="00F73841"/>
    <w:rsid w:val="00F80DD9"/>
    <w:rsid w:val="00F91772"/>
    <w:rsid w:val="00F93537"/>
    <w:rsid w:val="00F9605B"/>
    <w:rsid w:val="00F9610A"/>
    <w:rsid w:val="00FA02CA"/>
    <w:rsid w:val="00FA6E87"/>
    <w:rsid w:val="00FB19CF"/>
    <w:rsid w:val="00FB227C"/>
    <w:rsid w:val="00FB2EDF"/>
    <w:rsid w:val="00FD6E64"/>
    <w:rsid w:val="00FE7FF7"/>
    <w:rsid w:val="00FF26B8"/>
    <w:rsid w:val="00FF4057"/>
    <w:rsid w:val="0C1E0E09"/>
    <w:rsid w:val="1E566342"/>
    <w:rsid w:val="31AC1554"/>
    <w:rsid w:val="3B39CF3D"/>
    <w:rsid w:val="5A33F504"/>
    <w:rsid w:val="79D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472C2"/>
  <w15:docId w15:val="{6E1DC8CC-9B3B-4167-A765-09A24CC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D5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2">
    <w:name w:val="Body Text Indent 2"/>
    <w:basedOn w:val="Normal"/>
    <w:link w:val="BodyTextIndent2Char"/>
    <w:rsid w:val="00E93E91"/>
    <w:pPr>
      <w:tabs>
        <w:tab w:val="left" w:pos="1010"/>
        <w:tab w:val="left" w:pos="2021"/>
        <w:tab w:val="left" w:pos="3031"/>
        <w:tab w:val="left" w:pos="4860"/>
        <w:tab w:val="left" w:pos="5870"/>
        <w:tab w:val="left" w:pos="7258"/>
        <w:tab w:val="left" w:pos="8268"/>
        <w:tab w:val="left" w:pos="9278"/>
        <w:tab w:val="left" w:pos="10399"/>
      </w:tabs>
      <w:ind w:firstLine="720"/>
    </w:pPr>
    <w:rPr>
      <w:color w:val="000000"/>
      <w:szCs w:val="20"/>
    </w:rPr>
  </w:style>
  <w:style w:type="character" w:styleId="BodyTextIndent2Char" w:customStyle="1">
    <w:name w:val="Body Text Indent 2 Char"/>
    <w:basedOn w:val="DefaultParagraphFont"/>
    <w:link w:val="BodyTextIndent2"/>
    <w:rsid w:val="00E93E91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C09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09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9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098D"/>
    <w:rPr>
      <w:sz w:val="24"/>
      <w:szCs w:val="24"/>
    </w:rPr>
  </w:style>
  <w:style w:type="paragraph" w:styleId="Revision">
    <w:name w:val="Revision"/>
    <w:hidden/>
    <w:uiPriority w:val="99"/>
    <w:semiHidden/>
    <w:rsid w:val="00D6616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3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14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031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1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314A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AC3BB6"/>
    <w:pPr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21468c4df5204e0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4ce3-a6c6-49ea-98d5-fd90e858573f}"/>
      </w:docPartPr>
      <w:docPartBody>
        <w:p w14:paraId="09FE2A3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398b9-5e61-4da2-b512-8994167b251c">
      <Terms xmlns="http://schemas.microsoft.com/office/infopath/2007/PartnerControls"/>
    </lcf76f155ced4ddcb4097134ff3c332f>
    <TaxCatchAll xmlns="81dd8a99-1c6b-435a-b12b-64082d936e12" xsi:nil="true"/>
    <SharedWithUsers xmlns="81dd8a99-1c6b-435a-b12b-64082d936e12">
      <UserInfo>
        <DisplayName/>
        <AccountId xsi:nil="true"/>
        <AccountType/>
      </UserInfo>
    </SharedWithUsers>
    <MediaLengthInSeconds xmlns="18a398b9-5e61-4da2-b512-8994167b25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F0D6DF1424B4C8EB9DEE023687F18" ma:contentTypeVersion="14" ma:contentTypeDescription="Create a new document." ma:contentTypeScope="" ma:versionID="da5a1c070b518e169d2ef45458ad68ad">
  <xsd:schema xmlns:xsd="http://www.w3.org/2001/XMLSchema" xmlns:xs="http://www.w3.org/2001/XMLSchema" xmlns:p="http://schemas.microsoft.com/office/2006/metadata/properties" xmlns:ns2="18a398b9-5e61-4da2-b512-8994167b251c" xmlns:ns3="81dd8a99-1c6b-435a-b12b-64082d936e12" targetNamespace="http://schemas.microsoft.com/office/2006/metadata/properties" ma:root="true" ma:fieldsID="937413b81165ccb3de9b4049765046fa" ns2:_="" ns3:_="">
    <xsd:import namespace="18a398b9-5e61-4da2-b512-8994167b251c"/>
    <xsd:import namespace="81dd8a99-1c6b-435a-b12b-64082d936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98b9-5e61-4da2-b512-8994167b2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e410d7-9571-4eb2-9bdf-7ffd7d501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d8a99-1c6b-435a-b12b-64082d93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5f6657-9957-4e21-a2e8-98dad9fe871e}" ma:internalName="TaxCatchAll" ma:showField="CatchAllData" ma:web="81dd8a99-1c6b-435a-b12b-64082d936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FCF81-A189-4585-ABD4-34B91F4889F8}">
  <ds:schemaRefs>
    <ds:schemaRef ds:uri="http://schemas.microsoft.com/office/2006/metadata/properties"/>
    <ds:schemaRef ds:uri="http://www.w3.org/XML/1998/namespace"/>
    <ds:schemaRef ds:uri="http://purl.org/dc/elements/1.1/"/>
    <ds:schemaRef ds:uri="d1449ae4-953e-45c5-87c0-ebffac54bbf1"/>
    <ds:schemaRef ds:uri="http://schemas.openxmlformats.org/package/2006/metadata/core-properties"/>
    <ds:schemaRef ds:uri="11e5767e-78d5-4025-8038-8d74a5bac7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9CBA03-5CFF-4B98-A58D-B9B42F7FE10C}"/>
</file>

<file path=customXml/itemProps3.xml><?xml version="1.0" encoding="utf-8"?>
<ds:datastoreItem xmlns:ds="http://schemas.openxmlformats.org/officeDocument/2006/customXml" ds:itemID="{F444A48B-C4C0-400D-A140-29D7F61F7D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American Forest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VLockhart</dc:creator>
  <cp:lastModifiedBy>Lloyd, Stephen</cp:lastModifiedBy>
  <cp:revision>14</cp:revision>
  <dcterms:created xsi:type="dcterms:W3CDTF">2022-09-27T14:20:00Z</dcterms:created>
  <dcterms:modified xsi:type="dcterms:W3CDTF">2023-04-27T13:35:56Z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0x01010058DF0D6DF1424B4C8EB9DEE023687F18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</Properties>
</file>